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13F7" w14:textId="77777777" w:rsidR="00941C7F" w:rsidRPr="00C02016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C02016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C02016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C02016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C02016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C02016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C02016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C02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C02016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C02016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C02016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C02016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C02016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C02016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C02016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C02016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C02016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C02016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C02016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C02016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C02016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C02016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C02016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C02016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C02016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C02016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C020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C02016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C02016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C02016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C02016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C02016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C02016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C02016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C02016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C02016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C02016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C02016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C02016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C02016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C02016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C02016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C02016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C02016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C02016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C02016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C02016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C02016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C02016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C02016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000F06DF" w:rsidR="000F068F" w:rsidRPr="00C02016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C02016" w:rsidRPr="00C02016">
        <w:rPr>
          <w:rFonts w:ascii="Times New Roman" w:hAnsi="Times New Roman" w:cs="Times New Roman"/>
          <w:b/>
          <w:i/>
          <w:sz w:val="24"/>
          <w:lang w:val="bg-BG"/>
        </w:rPr>
        <w:t>240</w:t>
      </w:r>
      <w:r w:rsidRPr="00C02016">
        <w:rPr>
          <w:rFonts w:ascii="Times New Roman" w:hAnsi="Times New Roman" w:cs="Times New Roman"/>
          <w:b/>
          <w:i/>
          <w:sz w:val="24"/>
          <w:lang w:val="bg-BG"/>
        </w:rPr>
        <w:t xml:space="preserve"> календарни дни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 който започва да тече от датата, определена за краен срок за получаване на оферти</w:t>
      </w:r>
      <w:r w:rsidRPr="00C02016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C02016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C02016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02016">
        <w:rPr>
          <w:rFonts w:eastAsia="Times New Roman"/>
          <w:noProof/>
          <w:color w:val="000000" w:themeColor="text1"/>
        </w:rPr>
        <w:t>4</w:t>
      </w:r>
      <w:r w:rsidR="00E60211" w:rsidRPr="00C02016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C02016">
        <w:rPr>
          <w:rFonts w:eastAsia="Times New Roman"/>
          <w:noProof/>
          <w:color w:val="000000" w:themeColor="text1"/>
        </w:rPr>
        <w:t xml:space="preserve">зпълним </w:t>
      </w:r>
      <w:r w:rsidR="009D0901" w:rsidRPr="00C02016">
        <w:rPr>
          <w:color w:val="000000" w:themeColor="text1"/>
        </w:rPr>
        <w:t>строително-монтажните работи</w:t>
      </w:r>
      <w:r w:rsidR="009A48B8" w:rsidRPr="00C02016">
        <w:rPr>
          <w:rFonts w:eastAsia="Times New Roman"/>
          <w:noProof/>
          <w:color w:val="000000" w:themeColor="text1"/>
        </w:rPr>
        <w:t xml:space="preserve">, </w:t>
      </w:r>
      <w:r w:rsidR="00A40E2C" w:rsidRPr="00C02016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C02016">
        <w:rPr>
          <w:rFonts w:eastAsia="Times New Roman"/>
          <w:noProof/>
          <w:color w:val="000000" w:themeColor="text1"/>
        </w:rPr>
        <w:t>предмет</w:t>
      </w:r>
      <w:r w:rsidR="00A40E2C" w:rsidRPr="00C02016">
        <w:rPr>
          <w:rFonts w:eastAsia="Times New Roman"/>
          <w:noProof/>
          <w:color w:val="000000" w:themeColor="text1"/>
        </w:rPr>
        <w:t>а</w:t>
      </w:r>
      <w:r w:rsidR="009A48B8" w:rsidRPr="00C02016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C02016">
        <w:rPr>
          <w:rFonts w:eastAsia="Times New Roman"/>
          <w:noProof/>
          <w:color w:val="000000" w:themeColor="text1"/>
        </w:rPr>
        <w:t>,</w:t>
      </w:r>
      <w:r w:rsidR="009A48B8" w:rsidRPr="00C02016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C02016">
        <w:rPr>
          <w:rFonts w:eastAsia="Times New Roman"/>
          <w:noProof/>
          <w:color w:val="000000" w:themeColor="text1"/>
        </w:rPr>
        <w:t>я</w:t>
      </w:r>
      <w:r w:rsidR="0045618B" w:rsidRPr="00C02016">
        <w:rPr>
          <w:rFonts w:eastAsia="Times New Roman"/>
          <w:noProof/>
          <w:color w:val="000000" w:themeColor="text1"/>
        </w:rPr>
        <w:t xml:space="preserve"> </w:t>
      </w:r>
      <w:r w:rsidR="009A48B8" w:rsidRPr="00C02016">
        <w:rPr>
          <w:rFonts w:eastAsia="Times New Roman"/>
          <w:noProof/>
          <w:color w:val="000000" w:themeColor="text1"/>
        </w:rPr>
        <w:t>срок</w:t>
      </w:r>
      <w:r w:rsidR="00E60211" w:rsidRPr="00C02016">
        <w:rPr>
          <w:rFonts w:eastAsia="Times New Roman"/>
          <w:noProof/>
          <w:color w:val="000000" w:themeColor="text1"/>
        </w:rPr>
        <w:t>:</w:t>
      </w:r>
      <w:r w:rsidR="00223D4F" w:rsidRPr="00C02016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C02016">
        <w:rPr>
          <w:color w:val="000000" w:themeColor="text1"/>
        </w:rPr>
        <w:t xml:space="preserve">включва времето от подписване на </w:t>
      </w:r>
      <w:r w:rsidR="000F068F" w:rsidRPr="00C02016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C02016">
        <w:t xml:space="preserve">Приложение № 2а към чл. 7, ал. 3, т. </w:t>
      </w:r>
      <w:r w:rsidR="000F068F" w:rsidRPr="00C02016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C02016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50B9262" w14:textId="77777777" w:rsidR="008A6B1D" w:rsidRPr="00F54867" w:rsidRDefault="008A6B1D" w:rsidP="008A6B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54867">
        <w:rPr>
          <w:b/>
          <w:bCs/>
          <w:iCs/>
          <w:color w:val="000000"/>
        </w:rPr>
        <w:t>ВАЖНО:</w:t>
      </w:r>
    </w:p>
    <w:p w14:paraId="37FB952A" w14:textId="77777777" w:rsidR="008A6B1D" w:rsidRPr="00F54867" w:rsidRDefault="008A6B1D" w:rsidP="008A6B1D">
      <w:pPr>
        <w:pStyle w:val="NormalWeb"/>
        <w:shd w:val="clear" w:color="auto" w:fill="FFFFFF"/>
        <w:spacing w:before="0" w:beforeAutospacing="0" w:after="120" w:afterAutospacing="0"/>
        <w:ind w:firstLine="540"/>
        <w:jc w:val="both"/>
        <w:rPr>
          <w:b/>
          <w:bCs/>
          <w:i/>
          <w:iCs/>
          <w:color w:val="000000"/>
        </w:rPr>
      </w:pPr>
      <w:r w:rsidRPr="00F54867">
        <w:rPr>
          <w:b/>
          <w:bCs/>
          <w:i/>
          <w:iCs/>
          <w:color w:val="000000"/>
        </w:rPr>
        <w:t>Възложителят определя максимален срок за изпълнение 75 (седемдесет и пет) календарни дни. 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</w:p>
    <w:p w14:paraId="499644BF" w14:textId="77777777" w:rsidR="008A6B1D" w:rsidRPr="008A6B1D" w:rsidRDefault="008A6B1D" w:rsidP="008A6B1D">
      <w:pPr>
        <w:autoSpaceDE w:val="0"/>
        <w:autoSpaceDN w:val="0"/>
        <w:adjustRightInd w:val="0"/>
        <w:spacing w:afterLines="40" w:after="96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F54867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Участникът предлага срок за изпълнение на поръчката в календарни дни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C02016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C0201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C0201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C020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C02016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C020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C02016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C02016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C02016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C020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C02016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31 юли 2003 г. за въвеждане в експлоатация на строежите в Република България и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минимални гаранционни срокове за изпълнени строителни и монтажни работи, съоръжения и строителни обекти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C02016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C02016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C02016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C020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C020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C02016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C02016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C02016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C02016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C02016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C02016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02016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1. </w:t>
      </w:r>
      <w:r w:rsidRPr="00C02016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C02016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C02016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C02016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C02016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C02016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C02016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C02016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C02016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18917BBF" w:rsidR="00D5205B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4512B9" w14:textId="77777777" w:rsidR="00F54867" w:rsidRPr="00C02016" w:rsidRDefault="00F54867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C02016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C02016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C02016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C02016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C02016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C02016">
        <w:rPr>
          <w:rFonts w:ascii="Times New Roman" w:eastAsia="Times New Roman" w:hAnsi="Times New Roman"/>
          <w:lang w:val="bg-BG" w:eastAsia="ar-SA"/>
        </w:rPr>
        <w:t>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C02016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C02016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C02016">
        <w:rPr>
          <w:rFonts w:ascii="Times New Roman" w:hAnsi="Times New Roman" w:cs="Times New Roman"/>
          <w:sz w:val="24"/>
          <w:lang w:val="bg-BG"/>
        </w:rPr>
        <w:t>...........</w:t>
      </w:r>
      <w:r w:rsidRPr="00C02016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C02016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C02016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C02016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 xml:space="preserve">БУЛСТАТ/ЕИК/ </w:t>
      </w:r>
      <w:r w:rsidR="00064364" w:rsidRPr="00C02016">
        <w:rPr>
          <w:rFonts w:ascii="Times New Roman" w:hAnsi="Times New Roman"/>
          <w:lang w:val="bg-BG"/>
        </w:rPr>
        <w:t xml:space="preserve">друг </w:t>
      </w:r>
      <w:r w:rsidRPr="00C02016">
        <w:rPr>
          <w:rFonts w:ascii="Times New Roman" w:hAnsi="Times New Roman"/>
          <w:lang w:val="bg-BG"/>
        </w:rPr>
        <w:t xml:space="preserve">идентификационен </w:t>
      </w:r>
      <w:r w:rsidR="00064364" w:rsidRPr="00C02016">
        <w:rPr>
          <w:rFonts w:ascii="Times New Roman" w:hAnsi="Times New Roman"/>
          <w:lang w:val="bg-BG"/>
        </w:rPr>
        <w:t>код ..........................................</w:t>
      </w:r>
      <w:r w:rsidRPr="00C02016">
        <w:rPr>
          <w:rFonts w:ascii="Times New Roman" w:hAnsi="Times New Roman"/>
          <w:lang w:val="bg-BG"/>
        </w:rPr>
        <w:t>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C02016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C02016">
        <w:rPr>
          <w:rFonts w:ascii="Times New Roman" w:eastAsia="Times New Roman" w:hAnsi="Times New Roman"/>
          <w:lang w:val="bg-BG" w:eastAsia="ar-SA"/>
        </w:rPr>
        <w:t>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C02016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C02016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C02016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C02016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C02016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C02016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C020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C02016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C02016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C02016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C02016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C02016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C02016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C02016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C02016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C02016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C02016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C02016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C02016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C02016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C02016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C02016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C02016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C02016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C02016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C02016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C02016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C02016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C02016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C02016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C02016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C02016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C02016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C02016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C02016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C02016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C02016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C020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C02016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C02016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C0201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C02016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C02016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C02016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922"/>
        <w:gridCol w:w="1991"/>
      </w:tblGrid>
      <w:tr w:rsidR="00F553FA" w:rsidRPr="00C02016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14EC0FDD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C02016" w:rsidRPr="00C020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 w:bidi="bg-BG"/>
              </w:rPr>
              <w:t>„М16-</w:t>
            </w:r>
            <w:r w:rsidR="00C02016" w:rsidRPr="00C020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bg-BG"/>
              </w:rPr>
              <w:t>III</w:t>
            </w:r>
            <w:r w:rsidR="00C02016" w:rsidRPr="00C020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 w:bidi="bg-BG"/>
              </w:rPr>
              <w:t>-4 Реконструкция на топлопровод по ул."Природа" от камера К№К-II-К-1 до камера К№КII-K-16 -/ смяна на диаметър Ду400 на Ду500/ и отклонение от камера К№К-II-К-15 за бл. 213, отклонение от камера К№К-II-К-3 за  бл.223А, ОДЗ 8, отклонение от камера К№К-II-К-1 за ОДЗ 8 и отклонение от съществуващо трасе по ул. "Пчела" за 20-та поликлиника -жк.</w:t>
            </w:r>
            <w:r w:rsidR="00C02016" w:rsidRPr="00C020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bg-BG"/>
              </w:rPr>
              <w:t xml:space="preserve"> </w:t>
            </w:r>
            <w:r w:rsidR="00C02016" w:rsidRPr="00C020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 w:bidi="bg-BG"/>
              </w:rPr>
              <w:t>Борово“, р-н Красно село“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C02016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C02016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C02016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C02016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C02016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C02016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C02016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C02016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C020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C02016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C02016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F76438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lastRenderedPageBreak/>
        <w:t>5</w:t>
      </w:r>
      <w:r w:rsidR="00570418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определени </w:t>
      </w:r>
      <w:r w:rsidR="0057041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при пълно съответствие с условията от документацията и спецификация по процедурата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остойностяване на Количествената сметка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ПОДГОТОВКА НА ЗАЯВЛЕНИЕТО ЗА УЧАСТИЕ И ОФЕРТАТА</w:t>
      </w:r>
      <w:r w:rsidR="00A17AC1" w:rsidRPr="00F764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F76438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стойност на неп</w:t>
      </w:r>
      <w:bookmarkStart w:id="3" w:name="_GoBack"/>
      <w:bookmarkEnd w:id="3"/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редвидени разходи по време на изпълнение на СМР е в размер до 10 % (десет 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C02016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C02016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C02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C02016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C02016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C02016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C02016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C02016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C02016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C02016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C02016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13. </w:t>
      </w:r>
      <w:r w:rsidR="006951E8"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C02016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C02016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C02016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C02016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C02016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C02016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C02016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 xml:space="preserve">Образец № </w:t>
      </w:r>
      <w:r w:rsidR="0038651E"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C02016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C02016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3F985" w14:textId="77777777" w:rsidR="008A3C16" w:rsidRDefault="008A3C16" w:rsidP="001E7203">
      <w:pPr>
        <w:spacing w:after="0" w:line="240" w:lineRule="auto"/>
      </w:pPr>
      <w:r>
        <w:separator/>
      </w:r>
    </w:p>
  </w:endnote>
  <w:endnote w:type="continuationSeparator" w:id="0">
    <w:p w14:paraId="3B4006D7" w14:textId="77777777" w:rsidR="008A3C16" w:rsidRDefault="008A3C16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BB55" w14:textId="77777777" w:rsidR="008A3C16" w:rsidRDefault="008A3C16" w:rsidP="001E7203">
      <w:pPr>
        <w:spacing w:after="0" w:line="240" w:lineRule="auto"/>
      </w:pPr>
      <w:r>
        <w:separator/>
      </w:r>
    </w:p>
  </w:footnote>
  <w:footnote w:type="continuationSeparator" w:id="0">
    <w:p w14:paraId="7AF7204E" w14:textId="77777777" w:rsidR="008A3C16" w:rsidRDefault="008A3C16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3E4E"/>
    <w:rsid w:val="002A59A7"/>
    <w:rsid w:val="002B1FF3"/>
    <w:rsid w:val="002C0604"/>
    <w:rsid w:val="002D5827"/>
    <w:rsid w:val="002D78A8"/>
    <w:rsid w:val="002E27BD"/>
    <w:rsid w:val="002F6B24"/>
    <w:rsid w:val="00301313"/>
    <w:rsid w:val="00301551"/>
    <w:rsid w:val="0030478E"/>
    <w:rsid w:val="0031026C"/>
    <w:rsid w:val="00313C85"/>
    <w:rsid w:val="0031440F"/>
    <w:rsid w:val="00331E5A"/>
    <w:rsid w:val="00337403"/>
    <w:rsid w:val="00341D3D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2736C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3C16"/>
    <w:rsid w:val="008A4AF3"/>
    <w:rsid w:val="008A6B1D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66A6"/>
    <w:rsid w:val="00912062"/>
    <w:rsid w:val="009156AC"/>
    <w:rsid w:val="00920DF4"/>
    <w:rsid w:val="00923E71"/>
    <w:rsid w:val="0092531B"/>
    <w:rsid w:val="0092651C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2016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4867"/>
    <w:rsid w:val="00F553FA"/>
    <w:rsid w:val="00F55B45"/>
    <w:rsid w:val="00F640E8"/>
    <w:rsid w:val="00F649B9"/>
    <w:rsid w:val="00F65884"/>
    <w:rsid w:val="00F66D7B"/>
    <w:rsid w:val="00F6773E"/>
    <w:rsid w:val="00F74A39"/>
    <w:rsid w:val="00F76438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5147-4333-4C96-987E-C4C15286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12</Pages>
  <Words>2474</Words>
  <Characters>14107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Ina Milkova</cp:lastModifiedBy>
  <cp:revision>927</cp:revision>
  <dcterms:created xsi:type="dcterms:W3CDTF">2017-10-03T15:19:00Z</dcterms:created>
  <dcterms:modified xsi:type="dcterms:W3CDTF">2020-05-23T05:09:00Z</dcterms:modified>
</cp:coreProperties>
</file>